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03:50 МСК · База обновлена: 27.08.2026, 22:43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обратился к нефрологу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слабость,</w:t>
      </w:r>
    </w:p>
    <w:p>
      <w:pPr>
        <w:spacing w:after="58"/>
      </w:pPr>
      <w:r>
        <w:rPr>
          <w:b w:val="0"/>
          <w:i w:val="0"/>
        </w:rPr>
        <w:t>* похудание,</w:t>
      </w:r>
    </w:p>
    <w:p>
      <w:pPr>
        <w:spacing w:after="58"/>
      </w:pPr>
      <w:r>
        <w:rPr>
          <w:b w:val="0"/>
          <w:i w:val="0"/>
        </w:rPr>
        <w:t>* субфебрильную температуру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Три месяца назад после переохлаждения появились слабость, повышение температуры тела до 38,0С. Проводимая амбулаторно по месту жительства антибактериальная терапия цефтриаксоном оказалась не эффективной. В общем анализе крови: анемия (гемоглобин 100 г/л), увеличение СОЭ до 50 мм/ч. Обследован гематологами, исключен парапротеинемический гемобластоз. Общий анализ мочи – следы белка. Госпитализирован в терапевтический стационар, где была проведена мультиспиральная компьютерная томография грудной клетки, выявлено симметричное увеличение лимфатических узлов корней лёгких и средостения и двусторонние очагово-интерстициальные изменения в лёгких. Исключен туберкулёз (отрицательные туберкулиновые пробы, посевы мокроты на БК). Отмечались отрицательные результаты микробиологических исследований мокроты и крови на инвазивные микозы. Диагностирован саркоидоз лёгких и внутригрудных лимфоузлов, назначен преднизолон в дозе 30 мг/сут, через 2 недели лечения отмечен положительный эффект. Через неделю после самостоятельной отмены преднизолона возобновился субфебрилитет, отмечалось повышение острофазовых показателей крови. При компьютерной томографии органов грудной клетки и брюшной полости сохраняются признаки активности саркоидоза. Впервые отмечено повышение креатинина сыворотки крови до 135 мкмоль/л, в связи с чем направлена на консультацию к нефрологу.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ОРВИ 1-2 раза в год, хронический гастродуоденит.</w:t>
      </w:r>
    </w:p>
    <w:p>
      <w:pPr>
        <w:spacing w:after="58"/>
      </w:pPr>
      <w:r>
        <w:rPr>
          <w:b w:val="0"/>
          <w:i w:val="0"/>
        </w:rPr>
        <w:t>* Вредных привычек не имеет.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178 см. Вес 76 кг, ИМТ 24 кг/м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Температура тела 37,2°С. Кожные покровы обычной окраски, высыпаний нет. Периферические лимфоузлы не увеличены. При аускультации легких дыхание везикулярное с жестким оттенком, хрипов нет. ЧДД 18 в мин. Тоны сердца ясные, ритмичные, шумов нет. ЧСС 76 ударов в мин, ритмичный. АД 125/75 мм рт.ст. Печень не увеличена, размеры по Курлову 10-8-7 см. Живот мягкий, безболезненный при пальпации во всех отделах, стул – норма. Поколачивание по поясничной области безболезненное с обеих сторон. Мочеиспускание безболезненное, дизурии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обследования, в первую очередь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суточная экскреция кальция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двухстаканная проба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ортостатическая проба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крови</w:t>
      </w:r>
      <w:r>
        <w:br/>
      </w:r>
      <w:r>
        <w:rPr>
          <w:b/>
          <w:i w:val="0"/>
        </w:rPr>
        <w:t>2 - суточная экскреция кальция</w:t>
      </w:r>
      <w:r>
        <w:br/>
      </w:r>
      <w:r>
        <w:rPr>
          <w:b/>
          <w:i w:val="0"/>
        </w:rPr>
        <w:t>3 - биохимический анализ крови</w:t>
      </w:r>
      <w:r>
        <w:br/>
      </w:r>
      <w:r>
        <w:rPr>
          <w:b/>
          <w:i w:val="0"/>
        </w:rPr>
        <w:t>5 - общий анализ мочи</w:t>
      </w:r>
    </w:p>
    <w:p>
      <w:pPr>
        <w:spacing w:after="58"/>
      </w:pPr>
      <w:r>
        <w:rPr>
          <w:b w:val="0"/>
          <w:i w:val="0"/>
        </w:rPr>
        <w:t>Для ХПН типична гипохромная анемия. Лейкоцитоз может наблюдаться при инфекциях мочевыводящих путей, часто он сочетается с увеличением скорости оседания эритроцитов (СОЭ).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Уровень кальция в крови и моче. Гиперкальциемия (5%) при саркоидозе рассматривается, как проявление активного саркоидоза. Гиперкальцийурия (25%) встречается гораздо чаще и является более точным методом выявления нарушения метаболизма кальция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 пациента с хроническим заболеванием почек необходимо обращать внимание в первую очередь на признаки, характеризующие фильтрационную функцию почек (сывороточная концентрация креатинина), и уровень калия в сыворотке крови, рост которого может стать показанием к выполнению экстренного ГД.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Оценка функции почек включает в себя общий анализ мочи, определение креатинина, азота мочевины крови, клубочковой фильтрации.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Оценка функции почек включает в себя общий анализ мочи, определение креатинина, азота мочевины крови, клубочковой фильтрации.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амбулаторных условиях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внутривенная 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динамическая 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биопсия слизистой 12-перстной кишки на амилоид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цистоскопия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ультразвуковое исследование мочевого пузыря</w:t>
      </w:r>
      <w:r>
        <w:br/>
      </w:r>
      <w:r>
        <w:rPr>
          <w:b/>
          <w:i w:val="0"/>
        </w:rPr>
        <w:t>3 - ультразвуковое исследование почек</w:t>
      </w:r>
    </w:p>
    <w:p>
      <w:pPr>
        <w:spacing w:after="58"/>
      </w:pPr>
      <w:r>
        <w:rPr>
          <w:b w:val="0"/>
          <w:i w:val="0"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Оптимальным методом определения скорости клубочковой фильтрации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формула Дюбуа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формула 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формула Кокрофта-Голта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проба Реберга-Тареева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проба Реберга-Тареева</w:t>
      </w:r>
    </w:p>
    <w:p>
      <w:pPr>
        <w:spacing w:after="58"/>
      </w:pPr>
      <w:r>
        <w:rPr>
          <w:b w:val="0"/>
          <w:i w:val="0"/>
        </w:rPr>
        <w:t>В повседневной практической деятельности (особенно амбулаторной) для оценки скорости клубочковой фильтрации (СКФ) удобен и широко используется расчетный метод (формула CKD-EPI) на основе эндогенного креатинина. Однако в ряде ситуаций использование расчетных методов оценки СКФ некорректно:</w:t>
      </w:r>
    </w:p>
    <w:p>
      <w:pPr>
        <w:spacing w:after="58"/>
      </w:pPr>
      <w:r>
        <w:rPr>
          <w:b w:val="0"/>
          <w:i w:val="0"/>
        </w:rPr>
        <w:t>* нестандартные размеры тела (пациенты с ампутацией конечностей, бодибилдеры)</w:t>
      </w:r>
    </w:p>
    <w:p>
      <w:pPr>
        <w:spacing w:after="58"/>
      </w:pPr>
      <w:r>
        <w:rPr>
          <w:b w:val="0"/>
          <w:i w:val="0"/>
        </w:rPr>
        <w:t>* выраженные истощение и ожирение</w:t>
      </w:r>
    </w:p>
    <w:p>
      <w:pPr>
        <w:spacing w:after="58"/>
      </w:pPr>
      <w:r>
        <w:rPr>
          <w:b w:val="0"/>
          <w:i w:val="0"/>
        </w:rPr>
        <w:t>* беременность</w:t>
      </w:r>
    </w:p>
    <w:p>
      <w:pPr>
        <w:spacing w:after="58"/>
      </w:pPr>
      <w:r>
        <w:rPr>
          <w:b w:val="0"/>
          <w:i w:val="0"/>
        </w:rPr>
        <w:t>* заболевания скелетной мускулатуры (миодистрофии)</w:t>
      </w:r>
    </w:p>
    <w:p>
      <w:pPr>
        <w:spacing w:after="58"/>
      </w:pPr>
      <w:r>
        <w:rPr>
          <w:b w:val="0"/>
          <w:i w:val="0"/>
        </w:rPr>
        <w:t>* параплегия и квадроплегия</w:t>
      </w:r>
    </w:p>
    <w:p>
      <w:pPr>
        <w:spacing w:after="58"/>
      </w:pPr>
      <w:r>
        <w:rPr>
          <w:b w:val="0"/>
          <w:i w:val="0"/>
        </w:rPr>
        <w:t>* строгая вегетарианская диета</w:t>
      </w:r>
    </w:p>
    <w:p>
      <w:pPr>
        <w:spacing w:after="58"/>
      </w:pPr>
      <w:r>
        <w:rPr>
          <w:b w:val="0"/>
          <w:i w:val="0"/>
        </w:rPr>
        <w:t>* быстрое снижение функции почек (острый и быстропрогрессирующий гломерулонефрит, острое почечное повреждение)</w:t>
      </w:r>
    </w:p>
    <w:p>
      <w:pPr>
        <w:spacing w:after="58"/>
      </w:pPr>
      <w:r>
        <w:rPr>
          <w:b w:val="0"/>
          <w:i w:val="0"/>
        </w:rPr>
        <w:t>* необходимость назначения токсичных препаратов, выводимых почками (например, химиотерапия) для определения их безопасной дозы</w:t>
      </w:r>
    </w:p>
    <w:p>
      <w:pPr>
        <w:spacing w:after="58"/>
      </w:pPr>
      <w:r>
        <w:rPr>
          <w:b w:val="0"/>
          <w:i w:val="0"/>
        </w:rPr>
        <w:t>* при решении вопроса о начале заместительной почечной терапии</w:t>
      </w:r>
    </w:p>
    <w:p>
      <w:pPr>
        <w:spacing w:after="58"/>
      </w:pPr>
      <w:r>
        <w:rPr>
          <w:b w:val="0"/>
          <w:i w:val="0"/>
        </w:rPr>
        <w:t>* больные с почечным трансплантатом</w:t>
      </w:r>
    </w:p>
    <w:p>
      <w:pPr>
        <w:spacing w:after="58"/>
      </w:pPr>
      <w:r>
        <w:rPr>
          <w:b w:val="0"/>
          <w:i w:val="0"/>
        </w:rPr>
        <w:t>В таких обстоятельствах необходимо, как минимум воспользоваться стандартным измерением клиренса эндогенного креатинина (проба Реберга-Тареева) или другими клиренсовыми методами.</w:t>
      </w:r>
    </w:p>
    <w:p>
      <w:pPr>
        <w:spacing w:after="58"/>
      </w:pPr>
      <w:r>
        <w:rPr>
          <w:b w:val="0"/>
          <w:i w:val="0"/>
        </w:rPr>
        <w:t>У пациента с острым повреждением почек целесообразно проведение пробы Реберга-Тареева.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Ситуации, в которых использование расчетных методов оценки СКФ неприемлемо: быстрое снижение функции почек (острый и быстропрогрессирующий нефритические синдромы); перед назначением нефротоксичных препаратов;</w:t>
      </w:r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таких обстоятельствах необходимо воспользоваться как минимум стандартным измерением клиренса эндогенного креатинина (проба Реберга-Тареева) или другими клиренсовыми методами (обычно плазматическими или почечными клиренсами комплексонов или рентгеновских контрастов).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Точное определение природы нефропатии возможно после проведения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протеомного анализа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пункционной биопсии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позитронно-эмиссионной томографии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мультиспиральной компьютерной томографии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пункционной биопсии почки</w:t>
      </w:r>
    </w:p>
    <w:p>
      <w:pPr>
        <w:spacing w:after="58"/>
      </w:pPr>
      <w:r>
        <w:rPr>
          <w:b w:val="0"/>
          <w:i w:val="0"/>
        </w:rPr>
        <w:t>Значение биопсии почки непрерывно возрастает по мере увеличения возможностей исследования почечной ткани тонкими иммуногистохимическими и молекулярно-биологическими (селективным изучением тканевой экспрессии генов, медиаторов фиброгенеза и воспаления, вазоактивных молекул) методами, а также с помощью электронной микроскопии.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в стационаре проведена пункционная биопсия почек, выявившая при интактных клубочках наличие в интерстиции массивных лимфогистиоцитарных инфильтратов с формированием гигантоклеточных гранулем без казеоза, выраженную на значительном протяжении атрофию канальцев, при иммунногистохимическом исследовании не выявлено реакции с IgA, IgM, IgG, C3, моноклональными κappa, lambda цепями иммуноглобулинов, что свидетельствуют о развитии у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Гранулематозного тубулоинтерстициального 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Микрокист канальцев с интерстициальным фиброзом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Тубулоинтерстициального нефрита с нефрокальцинозом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Тубулоинтерстициальной лимфоидной инфильтрации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Гранулематозного тубулоинтерстициального нефрита</w:t>
      </w:r>
    </w:p>
    <w:p>
      <w:pPr>
        <w:spacing w:after="58"/>
      </w:pPr>
      <w:r>
        <w:rPr>
          <w:b w:val="0"/>
          <w:i w:val="0"/>
        </w:rPr>
        <w:t>Вовлечение почечного тубулоинтерстиция при саркоидозе происходит с формированием типичных саркоидных гранулем, иногда в очень большом количестве.</w:t>
      </w:r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 саркоидозной природе выявленного у больного гранулематозного тубулоинтерстициального нефрита свидетельствует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эпителиоидноклеточных гранулем с казеозным некрозом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эпителиоидноклеточных гранулем без казеозного некроза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отложений в почке моноклональных иммуноглобулинов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микрокист и расслоенных базальных мембран канальцев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эпителиоидноклеточных гранулем без казеозного некроза</w:t>
      </w:r>
    </w:p>
    <w:p>
      <w:pPr>
        <w:spacing w:after="58"/>
      </w:pPr>
      <w:r>
        <w:rPr>
          <w:b w:val="0"/>
          <w:i w:val="0"/>
        </w:rPr>
        <w:t>Поражение почек при саркоидозе встречается у 5-30% пациентов — от субклинической протеинурии до тяжёлого нефротического синдрома, тубулоинтерстициальных нарушений и почечной недостаточности; может быть обусловлено формированием гранулём и неспецифическим воспалительным процессом (нарушения микроциркуляции, отек, васкулит), а также нарушениями электролитного баланса.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Стационарная помощь больным саркоидозом оказывается при необходимости проведения инвазивных диагностических исследований, тяжёлом прогрессирующем течении легочного процесса, а также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угрожающих жизни внелёгочных проявлениях саркоидоза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положительном ответе на терапию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отсутствии при рентгенографии изменений в грудной клетке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неугрожающих жизни внелёгочных проявлениях саркоидоза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угрожающих жизни внелёгочных проявлениях саркоидоза</w:t>
      </w:r>
    </w:p>
    <w:p>
      <w:pPr>
        <w:spacing w:after="58"/>
      </w:pPr>
      <w:r>
        <w:rPr>
          <w:b w:val="0"/>
          <w:i w:val="0"/>
        </w:rPr>
        <w:t>Госпитализация больных саркоидозом показана на этапе первичной интенсивной диагностики, для инвазивной диагностики, для интенсивной терапии и оказания неотложной помощи при тяжёлом поражении органов и систем.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проведения лечения 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госпитализация в пульмонологическое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амбулаторное ведение врачом общей практики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нефрологическое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направление на санаторно-курортное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госпитализация в нефрологическое отделение</w:t>
      </w:r>
    </w:p>
    <w:p>
      <w:pPr>
        <w:spacing w:after="58"/>
      </w:pPr>
      <w:r>
        <w:rPr>
          <w:b w:val="0"/>
          <w:i w:val="0"/>
        </w:rPr>
        <w:t>Основные показания к специализированному нефрологическому стационарному обследованию.</w:t>
      </w:r>
    </w:p>
    <w:p>
      <w:pPr>
        <w:spacing w:after="58"/>
      </w:pPr>
      <w:r>
        <w:rPr>
          <w:b w:val="0"/>
          <w:i w:val="0"/>
        </w:rPr>
        <w:t>Впервые выявленное снижение СКФ до уровня ниже 30 мл/мин или уровень креатинина крови ≥ 250 мкмоль/л для мужчин и ≥ 200 мкмоль/л для женщин.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раздел «Скрининг и мониторинг хронической болезни почек»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Целесообразной лечебной тактикой у данного больного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начало заместительной почечной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начало приема ингибиторов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введение сверхвысоких доз циклофосфана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возобновление приёма кортикостероидов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возобновление приёма кортикостероидов</w:t>
      </w:r>
    </w:p>
    <w:p>
      <w:pPr>
        <w:spacing w:after="58"/>
      </w:pPr>
      <w:r>
        <w:rPr>
          <w:b w:val="0"/>
          <w:i w:val="0"/>
        </w:rPr>
        <w:t>Системные глюкокортикостероиды являются препаратами первой линии у больных с прогрессирующим течением болезни по данным рентгенологического и функционального исследования дыхания, при выраженных симптомах или внелёгочных проявлениях, нарушающих функцию органа, или развитии lupus pernio. Риск нежелательных явлений высокий.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Исключение составляют клинические случаи развития ОТИН вследствие диффузных заболеваний соединительной ткани аутоиммунного генеза , а также отсутствие улучшения почечной функции после прекращения воздействия причинных факторов.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Ассоциации нефрологов России по диагностике и лечению острого тубулоинтерстициального нефрита, 2015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Более частыми, чем саркоидоз, причинами развития гранулематозного тубулоинтерстициального нефрита,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бензойная кислота, тяжёлые металлы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гиперурикозурия, гиперкальциурия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лекарственные средства,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наследственные митохондриопатии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лекарственные средства, инфекции</w:t>
      </w:r>
    </w:p>
    <w:p>
      <w:pPr>
        <w:spacing w:after="58"/>
      </w:pPr>
      <w:r>
        <w:rPr>
          <w:b w:val="0"/>
          <w:i w:val="0"/>
        </w:rPr>
        <w:t>Следует иметь в виду, что само по себе выявление эпителиоидноклеточных гранулём в почках не подтверждает окончательно диагноз саркоидоза, поскольку они могут возникать и при других заболеваниях, например, инфекциях, лекарственной нефропатии, ревматических заболеваниях.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саркоидоза, 2016. Российское респираторное общество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Разделы «Лабораторная диагностика» и «Клинические проявления саркоидоза внелегочной локализации»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Проявления внелёгочного саркоидоза с поражением почек чаще всего представлены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различными вариантами гломерулонефрита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почечными тромбозами и тромбоэмболиями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кортикальными и медуллярными кистами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нефрокальцинозом, мочекаменной болезнью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нефрокальцинозом, мочекаменной болезнью</w:t>
      </w:r>
    </w:p>
    <w:p>
      <w:pPr>
        <w:spacing w:after="58"/>
      </w:pPr>
      <w:r>
        <w:rPr>
          <w:b w:val="0"/>
          <w:i w:val="0"/>
        </w:rPr>
        <w:t>Причиной нефропатии при саркоидозе бывают нарушения обмена кальция, гиперкальциемия и гиперкальциурия. Кальциевый нефролитиаз выявляется у 2–10% больных саркоидозом.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Выявленные у данного больного увеличенные внутригрудные лимфатические узлы и патологические изменения паренхимы лёгких соответствуют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стадии саркоидоза органов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II</w:t>
      </w:r>
    </w:p>
    <w:p>
      <w:pPr>
        <w:spacing w:after="58"/>
      </w:pPr>
      <w:r>
        <w:rPr>
          <w:b w:val="0"/>
          <w:i w:val="0"/>
        </w:rPr>
        <w:t>В настоящее время саркоидоз органов дыхания на основании результатов рентгенологического исследования грудной клетки разделяют на пять стадий (от 0 до IV).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Стадия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Рентгенологическая картина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Частота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Нет изменений на рентгенограмме органов грудной клетки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5%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Увеличение внутригрудных лимфатических узлов; паренхима лёгких не изменена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50%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II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Увеличение внутригрудных лимфатических узлов и патологические изменения паренхимы лёгких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30%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III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Патология лёгочной паренхимы без увеличения внутригрудных лимфатических узлов.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15%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IV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Выраженный фиброз лёгких как ведущий рентгенологический синдром.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20%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У пациента выявлена II стадия саркоидоза органов дыхания.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21" w:name="case_0002"/>
      <w:r>
        <w:t>Ситуационная задача 0002</w:t>
      </w:r>
      <w:bookmarkEnd w:id="2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70-летняя пациентка поступила в нефрологическое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отеки ног, общую и мышечную слабость, быструю утомляемость, потерю веса (минус 5 кг за год при обычном питании), головокружения при переходе в вертикальное положение, ощущение онемения и покалывания в ногах, ухудшение дикции («мешает язык»), боли в костях нижних конечностей и крыльях подвздошных костей.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15 лет страдает артериальной гипертензией, по поводу которой получала эналаприл 10 мг/сут, бисопролол 5 мг/сут. Примерно 5-6 лет выявлена небольшая изолированная протеинурия (0,1-0,3 г/л), которую расценили как проявление гипертонического нефроангиосклероза. В течение последнего года отмечает периодическое снижение артериального давления до 90/60 мм рт. ст. в связи с чем прекратила прием антигипертензивных препаратов. Около полугода назад появились небольшие отеки стоп и нижней трети голеней. Обследована флебологом, диагностирована варикозная болезнь нижних конечностей, хроническая венозная недостаточность 1 степени. Месяц назад в связи с нарастанием отеков обратилась в поликлинику по месту жительства. При обследовании: гемоглобин 108 г/л, тромбоциты 492 тыс., СОЭ 76 мм/ч, протеинурия 3,4 г/л, осадок мочи не изменен; в биохимическом анализе крови креатинин 115 мкмоль/л (СКФ</w:t>
      </w:r>
      <w:r>
        <w:rPr>
          <w:b w:val="0"/>
          <w:i w:val="0"/>
          <w:vertAlign w:val="subscript"/>
        </w:rPr>
        <w:t>CKD-EPI</w:t>
      </w:r>
      <w:r>
        <w:rPr>
          <w:b w:val="0"/>
          <w:i w:val="0"/>
        </w:rPr>
        <w:t xml:space="preserve"> 41 мл/мин/1,73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). Консультирована нефрологом: рекомендована госпитализация в нефрологическое отделение.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24 года аппендэктомия; в 51 год гистерэктомия по поводу миомы матки. Спонтанный (без явных травм, падений) перелом 10-12 ребер справа в 61 год, левого предплечья в 64 г . Около 15 лет страдает артериальной гипертензией.</w:t>
      </w:r>
    </w:p>
    <w:p>
      <w:pPr>
        <w:spacing w:after="58"/>
      </w:pPr>
      <w:r>
        <w:rPr>
          <w:b w:val="0"/>
          <w:i w:val="0"/>
        </w:rPr>
        <w:t>* Наследственность: у отца в 72 года инфаркт миокарда; у матери в 84 лет инсульт; у сына (47 лет) артериальная гипертензия.</w:t>
      </w:r>
    </w:p>
    <w:p>
      <w:pPr>
        <w:spacing w:after="58"/>
      </w:pPr>
      <w:r>
        <w:rPr>
          <w:b w:val="0"/>
          <w:i w:val="0"/>
        </w:rPr>
        <w:t>* Профессиональные вредности: отрицает.</w:t>
      </w:r>
    </w:p>
    <w:p>
      <w:pPr>
        <w:spacing w:after="58"/>
      </w:pPr>
      <w:r>
        <w:rPr>
          <w:b w:val="0"/>
          <w:i w:val="0"/>
        </w:rPr>
        <w:t>* 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164 см. Вес 60 кг. Кожные покровы бледные, видимые слизистые бледно-розовые. Язык увеличен в размере, с отпечатками от зубов по боковым поверхностям, влажный, у корня покрыт беловатым налетом. Умеренно выраженные отеки голеней и стоп. Перкуторно притупление звука в нижнебоковых отделах обоих легких. При аускультации легких дыхание везикулярное, хрипов нет. Тоны сердца приглушены, ритмичные. ЧСС 98 уд/мин, АД 90/70 мм рт. ст. Живот при пальпации мягкий безболезненный. Печень на 3 см выступает из-под края реберной дуги, край печени при пальпации плотный, ровный, безболезненный. Пальпируется нижний полюс селезенки. Стул регулярный, 2 раза в день, кашицеобразный. Мочеиспускание свободное, безболезненное. Поколачивание по поясничной области чувствительное с обеих сторон. Пальпация ребер, крыльев подвздошных костей, постукивание по костям голеней – слабо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Из лабораторных методов исследования в первую очередь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на суточную протеинурию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двухстаканную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анализ по Нечипоренко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клинический анализ крови</w:t>
      </w:r>
      <w:r>
        <w:br/>
      </w:r>
      <w:r>
        <w:rPr>
          <w:b/>
          <w:i w:val="0"/>
        </w:rPr>
        <w:t>2 - анализ на суточную протеинурию</w:t>
      </w:r>
      <w:r>
        <w:br/>
      </w:r>
      <w:r>
        <w:rPr>
          <w:b/>
          <w:i w:val="0"/>
        </w:rPr>
        <w:t>3 - биохимический анализ крови</w:t>
      </w:r>
      <w:r>
        <w:br/>
      </w:r>
      <w:r>
        <w:rPr>
          <w:b/>
          <w:i w:val="0"/>
        </w:rPr>
        <w:t>4 - общий анализ мочи</w:t>
      </w:r>
    </w:p>
    <w:p>
      <w:pPr>
        <w:spacing w:after="58"/>
      </w:pPr>
      <w:r>
        <w:rPr>
          <w:b w:val="0"/>
          <w:i w:val="0"/>
        </w:rPr>
        <w:t>Клинический анализ крови позволяет оценить уровень гемоглобина, тромбоцитов, форменных элементов, СОЭ, что необходимо для определения активности основного заболевания и поражения почек.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Суточная экскреция альбумина или общего белка в моче является «золотым стандартом». Оценка протеинурии за сутки позволяет более точно, чем полуколичественное определение белка в разовой порции мочи, оценить потерю белка, выявить наличие нефротической протеинурии (более 0,5 г/кг массы тела в сутки), оценить объём выделяемой мочи.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Клинические рекомендации Минздрава России. Хроническая болезнь почек (ХБП), 2024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Биохимический анализ крови позволяет выявить изменение белковых показателей, обменные (дислипидемию, гиперурикемию, гипергликемию) и электролитные нарушения, а также по концентрации креатинина оценить функцию почек (расчет скорости клубочковой фильтрации по формуле CKD-EPI).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(6)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(7)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(8)</w:t>
        </w:r>
      </w:hyperlink>
    </w:p>
    <w:p>
      <w:pPr>
        <w:spacing w:after="58"/>
      </w:pPr>
      <w:r>
        <w:rPr>
          <w:b w:val="0"/>
          <w:i w:val="0"/>
        </w:rPr>
        <w:t>Общий анализ мочи позволяет выявить повышенный уровень белка (протеинурию), изменение осадка: увеличение количества эритроцитов (гематурию), присутствие цилиндров. Правильная интерпретация изменений мочи позволяет высказать более определённое суждение о варианте хронического заболевания почек и обосновать дальнейшую тактику обследования. Ориентируясь на изменения мочи, выделяют "большие" нефрологические синдромы (остронефритический, нефротический).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методами, которые необходимо выполнить в первую очередь,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ретроградная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почек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 и допплерометрия миокарда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электрокардиографическое исследование</w:t>
      </w:r>
      <w:r>
        <w:br/>
      </w:r>
      <w:r>
        <w:rPr>
          <w:b/>
          <w:i w:val="0"/>
        </w:rPr>
        <w:t>3 - ультразвуковое исследование почек и органов брюшной полости</w:t>
      </w:r>
      <w:r>
        <w:br/>
      </w:r>
      <w:r>
        <w:rPr>
          <w:b/>
          <w:i w:val="0"/>
        </w:rPr>
        <w:t>5 - рентгенография органов грудной клетки</w:t>
      </w:r>
      <w:r>
        <w:br/>
      </w:r>
      <w:r>
        <w:rPr>
          <w:b/>
          <w:i w:val="0"/>
        </w:rPr>
        <w:t>6 - эхокардиография и допплерометрия миокарда</w:t>
      </w:r>
    </w:p>
    <w:p>
      <w:pPr>
        <w:spacing w:after="58"/>
      </w:pPr>
      <w:r>
        <w:rPr>
          <w:b w:val="0"/>
          <w:i w:val="0"/>
        </w:rPr>
        <w:t>Среди многочисленных инструментальных методов исследования кардиологического больного ведущее место принадлежит электрокардиографии. Этот метод является незаменимым в повседневной клинической практике, помогая врачу своевременно диагностировать нарушения сердечного ритма и проводимости, инфаркт миокарда и нестабильную стенокардию, эпизоды безболевой ишемии миокарда гипертрофию или перегрузку желудочков сердца и предсердий, кардиомиопатии и миокардиты и т.д.</w:t>
      </w:r>
    </w:p>
    <w:p>
      <w:pPr>
        <w:spacing w:after="58"/>
      </w:pPr>
      <w:r>
        <w:rPr>
          <w:b w:val="0"/>
          <w:i w:val="0"/>
        </w:rPr>
        <w:t>У пациентов с амилоидозом при ЭКГ могут наблюдаться низкий вольтаж зубцов, блокада проводящей системы на разных уровнях, аритмии, часто выявляют инфарктоподобный тип ЭКГ.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Ультразвуковое исследование (УЗИ) позволяет уточнить положение почек и органов брюшной полости, их форму, структуру, наличие обьёмных образований, лимфатических узлов и жидкости в брюшной полости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6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Рентгенографическое исследование – один из наиболее информативных методов дополнительного исследования, позволяющий получать довольно точные данные и оценивать изменения состояния органов грудной клетки. При рентгенографии органов грудной клетки применяют прямую, косые и боковые проекции. При этом анализируют состояние легочной паренхимы, легочный рисунок (получаемый за счет легочной паренхимы, сосудистых и интерстициальных структур) и корни легких, оценивают наличие лимфаденопатии.</w:t>
      </w:r>
    </w:p>
    <w:p>
      <w:pPr>
        <w:spacing w:after="58"/>
      </w:pPr>
      <w:r>
        <w:rPr>
          <w:b w:val="0"/>
          <w:i w:val="0"/>
        </w:rPr>
        <w:t>Внутренние болезни в 2-х томах: учебник Под ред. Н.А. Мухина, В.С. Моисеева, А.И. Мартынова - 2010. - 1264 c.</w:t>
      </w:r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Эхокардиография – широко распространенная современная ультразвуковая методика, применяемая для диагностики многообразной сердечной патологии.</w:t>
      </w:r>
    </w:p>
    <w:p>
      <w:pPr>
        <w:spacing w:after="58"/>
      </w:pPr>
      <w:r>
        <w:rPr>
          <w:b w:val="0"/>
          <w:i w:val="0"/>
        </w:rPr>
        <w:t>Эхокардиография предоставляет возможность осмотра сердца, его камер, клапанов, эндокарда и т.д. с помощью ультразвука, т.е. является частью одного из наиболее распространенных способов лучевой диагностики - ультрасонографии.</w:t>
      </w:r>
    </w:p>
    <w:p>
      <w:pPr>
        <w:spacing w:after="58"/>
      </w:pPr>
      <w:r>
        <w:rPr>
          <w:b w:val="0"/>
          <w:i w:val="0"/>
        </w:rPr>
        <w:t>Определяют симметричное утолщение стенок ЛЖ, межжелудочковой перегородки, признаки диастолической дисфункции. Размеры камеры ЛЖ нормальные или уменьшены, характерен рестриктивный тип нарушения диастолической функции (Е/А более 2)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 данной пациентки ведущим нефрологическим синдромом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дисфункция канальцев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остронефритический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нефротический</w:t>
      </w:r>
    </w:p>
    <w:p>
      <w:pPr>
        <w:spacing w:after="58"/>
      </w:pPr>
      <w:r>
        <w:rPr>
          <w:b w:val="0"/>
          <w:i w:val="0"/>
        </w:rPr>
        <w:t>Нефротический синдром – клинико-лабораторный симптомокомплекс, включающий выраженную протеинурию (у взрослых &gt;3,0 г/сут), гипопротеинемию, гипоальбуминемию, гиперхолестеринемию, отеки.</w:t>
      </w:r>
    </w:p>
    <w:p>
      <w:pPr>
        <w:spacing w:after="58"/>
      </w:pPr>
      <w:r>
        <w:rPr>
          <w:b w:val="0"/>
          <w:i w:val="0"/>
        </w:rPr>
        <w:t>У этой больной присутствуют все признаки НС: протеинурия &gt;3,0 г/сут, гипопротеинемия, гипоальбуминемия, гиперхолестеринемия, отеки.</w:t>
      </w:r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67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68">
        <w:r>
          <w:rPr>
            <w:color w:val="173C49"/>
            <w:u w:val="single"/>
          </w:rPr>
          <w:t xml:space="preserve"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Выявление у 70-летней пациентки с макроглоссией мультиорганного поражения (почки, печень, селезенка) в сочетании со значительным ускорением скорости оседания эритроцитов, анемией и тромбоцитозом требует исключения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системной красной волчанки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системного васкулита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формы амилоидоза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системной формы амилоидоза</w:t>
      </w:r>
    </w:p>
    <w:p>
      <w:pPr>
        <w:spacing w:after="58"/>
      </w:pPr>
      <w:r>
        <w:rPr>
          <w:b w:val="0"/>
          <w:i w:val="0"/>
        </w:rPr>
        <w:t>Системность поражения с характерными вовлечением почек (нефротический синдром без изменения осадка, почечная недостаточность), сердца (утолщение межжелудочковой перегородки более 12 мм, низкая амплитуда желудочковых комплексов на ЭКГ, рестриктивные изменения и неоднородная гиперэхогенность миокарда при ЭХОКГ), печени (гепатомегалия, холестаз), селезенки (спленомегалия, гипоспленизм с тромбоцитозом), мышц (макроглоссия) у пожилой пациентки со значительно ускоренной СОЭ (не соответствующей степени выраженности нефротического синдрома) может быть проявлением системного амилоидоза, что требует проведения обследования, включающего поиск амилоида в тканях и его типирование, выявление плазмоклеточной дискразии.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</w:r>
    </w:p>
    <w:p>
      <w:pPr>
        <w:spacing w:after="58"/>
      </w:pPr>
      <w:hyperlink r:id="rId6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7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71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72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73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74">
        <w:r>
          <w:rPr>
            <w:color w:val="173C49"/>
            <w:u w:val="single"/>
          </w:rPr>
          <w:t xml:space="preserve">(6)</w:t>
        </w:r>
      </w:hyperlink>
    </w:p>
    <w:p>
      <w:pPr>
        <w:spacing w:after="58"/>
      </w:pPr>
      <w:hyperlink r:id="rId75">
        <w:r>
          <w:rPr>
            <w:color w:val="173C49"/>
            <w:u w:val="single"/>
          </w:rPr>
          <w:t xml:space="preserve">(7)</w:t>
        </w:r>
      </w:hyperlink>
    </w:p>
    <w:p>
      <w:pPr>
        <w:spacing w:after="58"/>
      </w:pPr>
      <w:r>
        <w:rPr>
          <w:b w:val="0"/>
          <w:i w:val="0"/>
        </w:rPr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306-313.</w:t>
      </w:r>
    </w:p>
    <w:p>
      <w:pPr>
        <w:spacing w:after="58"/>
      </w:pPr>
      <w:hyperlink r:id="rId7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7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78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79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80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81">
        <w:r>
          <w:rPr>
            <w:color w:val="173C49"/>
            <w:u w:val="single"/>
          </w:rPr>
          <w:t xml:space="preserve">(6)</w:t>
        </w:r>
      </w:hyperlink>
    </w:p>
    <w:p>
      <w:pPr>
        <w:spacing w:after="58"/>
      </w:pPr>
      <w:hyperlink r:id="rId82">
        <w:r>
          <w:rPr>
            <w:color w:val="173C49"/>
            <w:u w:val="single"/>
          </w:rPr>
          <w:t xml:space="preserve">(7)</w:t>
        </w:r>
      </w:hyperlink>
    </w:p>
    <w:p>
      <w:pPr>
        <w:spacing w:after="58"/>
      </w:pPr>
      <w:hyperlink r:id="rId83">
        <w:r>
          <w:rPr>
            <w:color w:val="173C49"/>
            <w:u w:val="single"/>
          </w:rPr>
          <w:t xml:space="preserve">(8)</w:t>
        </w:r>
      </w:hyperlink>
    </w:p>
    <w:p>
      <w:pPr>
        <w:spacing w:after="58"/>
      </w:pPr>
      <w:hyperlink r:id="rId84">
        <w:r>
          <w:rPr>
            <w:color w:val="173C49"/>
            <w:u w:val="single"/>
          </w:rPr>
          <w:t xml:space="preserve">(9)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8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8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88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89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90">
        <w:r>
          <w:rPr>
            <w:color w:val="173C49"/>
            <w:u w:val="single"/>
          </w:rPr>
          <w:t xml:space="preserve">(5)</w:t>
        </w:r>
      </w:hyperlink>
    </w:p>
    <w:p>
      <w:pPr>
        <w:spacing w:after="58"/>
      </w:pPr>
      <w:hyperlink r:id="rId91">
        <w:r>
          <w:rPr>
            <w:color w:val="173C49"/>
            <w:u w:val="single"/>
          </w:rPr>
          <w:t xml:space="preserve">(6)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морфологическом исследовании биоптата прямой кишки (с захватом подслизистого слоя) обнаружены конгофильные массы, обладающие способностью к яблочно-зеленому или желтоватому свечению в поляризованном свете, что указывает на наличие в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васкулита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гранулем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воспаления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амилоида</w:t>
      </w:r>
    </w:p>
    <w:p>
      <w:pPr>
        <w:spacing w:after="58"/>
      </w:pPr>
      <w:r>
        <w:rPr>
          <w:b w:val="0"/>
          <w:i w:val="0"/>
        </w:rPr>
        <w:t>Диагностика амилоидоза с учетом клинической картины основывается на результатах морфологического исследования. При системном амилоидозе результативна биопсия прямой или двенадцатиперстной кишки (с захватом подслизистого слоя). Наиболее эффективна биопсия пораженного органа. С целью выявления амилоида необходимо окрашивание препаратов ткани красителем конго красный и последующей микроскопией в поляризованном свете. Окончательный диагноз амилоидоза устанавливают при выявлении конгофильных масс, обладающих способностью к яблочно-зеленому или желтоватому свечению в поляризованном свете.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</w:r>
    </w:p>
    <w:p>
      <w:pPr>
        <w:spacing w:after="58"/>
      </w:pPr>
      <w:hyperlink r:id="rId9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9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9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После обработки данных препаратов раствором щелочного гуанидина конгофилия амилоидных масс и их свойства в поляризованном свете сохранялись через минуту и через час, что характерно для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Aβ2M-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ATTR-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AА-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AL-</w:t>
      </w:r>
    </w:p>
    <w:p>
      <w:pPr>
        <w:spacing w:after="58"/>
      </w:pPr>
      <w:r>
        <w:rPr>
          <w:b w:val="0"/>
          <w:i w:val="0"/>
        </w:rPr>
        <w:t>Для типирования амилоида часто применяют окрасочные методы. При обработке окрашенных конго-красным препаратов раствором щелочного гуанидина АА тип амилоида теряет окраску, в то время как конгофилия AL-амилоида длительно сохраняется. Однако окрасочные методы не являются абсолютно точными, они не всегда позволяют установить тип амилоида.</w:t>
      </w:r>
    </w:p>
    <w:p>
      <w:pPr>
        <w:spacing w:after="58"/>
      </w:pPr>
      <w:r>
        <w:rPr>
          <w:b w:val="0"/>
          <w:i w:val="0"/>
        </w:rPr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303.</w:t>
      </w:r>
    </w:p>
    <w:p>
      <w:pPr>
        <w:spacing w:after="58"/>
      </w:pPr>
      <w:hyperlink r:id="rId9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9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целью выявления плазмоклеточной дискразии или лимфопролиферативного заболевания как возможной причины AL-амилоидоза больной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сцинтиграфию миокарда с 99mТс-пирофосфатом, сцинтиграфическое сканирование сывороточного амилоида P (SAP)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пункционную биопсию почки с окраской на амилоид и выполнением нескольких окрасочных методов типирования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пункционную биопсию подкожно-жировой клетчатки с окраской конго-рот и обработкой раствором перманганатом калия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spacing w:after="58"/>
      </w:pPr>
      <w:r>
        <w:rPr>
          <w:b w:val="0"/>
          <w:i w:val="0"/>
        </w:rPr>
        <w:t>Все больные с плазмаклеточными дискразиями и лимфопролиферативными заболеваниями входят в группу риска AL-амилоидоза. Развитие AL-амилоидоза возможно при миеломной болезни, болезни Вальденстрема, В-клеточных лимфомах, или быть идиопатическим при первичном AL-амилоидозе.</w:t>
      </w:r>
    </w:p>
    <w:p>
      <w:pPr>
        <w:spacing w:after="58"/>
      </w:pPr>
      <w:r>
        <w:rPr>
          <w:b w:val="0"/>
          <w:i w:val="0"/>
        </w:rPr>
        <w:t>Диагностика AL-амилоидоза основывается на определении моноклональных легких цепей иммуноглобулинов в плазме крови и моче методом иммунофиксации, выявлении в костном мозге при помощи иммуногистохимии или методом иммунофлюореcценции клональной популяции плазматических клеток, содержащих лябда легкие цепи. Для выявления малого количества легких цепей необходимо одновременное применение метода электрофореза, метода иммунофиксации крови и суточной мочи и количественной оценки уровня свободных легких цепей иммуноглобулинов в сыворотке крови методом Freelite. При выявлении плазматизации костного мозга важно проведение цитогенетического исследования и иммунофенотипирования плазмацитов для уточнения их клональности и злокачественности.</w:t>
      </w:r>
    </w:p>
    <w:p>
      <w:pPr>
        <w:spacing w:after="58"/>
      </w:pPr>
      <w:r>
        <w:rPr>
          <w:b w:val="0"/>
          <w:i w:val="0"/>
        </w:rPr>
        <w:t>Подсчёт плазматических клеток и окраска пунктата на амилоид позволяют не только диагностировать амилоидоз, но и дифференцировать первичный и ассоциированный с миеломой варианты AL-амилоидоза. Положительный результат исследования костного мозга на амилоид отмечают у 60% больных этим типом амилоидоза.</w:t>
      </w:r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</w:r>
    </w:p>
    <w:p>
      <w:pPr>
        <w:spacing w:after="58"/>
      </w:pPr>
      <w:hyperlink r:id="rId9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305-306.</w:t>
      </w:r>
    </w:p>
    <w:p>
      <w:pPr>
        <w:spacing w:after="58"/>
      </w:pPr>
      <w:hyperlink r:id="rId9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9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10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10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102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103">
        <w:r>
          <w:rPr>
            <w:color w:val="173C49"/>
            <w:u w:val="single"/>
          </w:rPr>
          <w:t xml:space="preserve"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пациентки с подозрением на миеломную болезнь, особенно с учетом имеющихся оссалгий и нескольких переломов в анамнезе,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электронейромиографию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суставов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компьютерную томографию костей</w:t>
      </w:r>
    </w:p>
    <w:p>
      <w:pPr>
        <w:spacing w:after="58"/>
      </w:pPr>
      <w:r>
        <w:rPr>
          <w:b w:val="0"/>
          <w:i w:val="0"/>
        </w:rPr>
        <w:t>Всем пациентам при установке диагноза миеломы, перед началом терапии, при оценке эффекта терапии, а также при подозрении на рецидив заболевания рекомендуется выполнить компьютерную томографию (КТ) всех отделов позвоночника, грудной клетки, таза (предпочтение отдается низкодозной КТ всего скелета) для уточнения наличия и распространенности поражения костей, выявления костных плазмоцитом с определением их размеров</w:t>
      </w:r>
    </w:p>
    <w:p>
      <w:pPr>
        <w:spacing w:after="58"/>
      </w:pPr>
      <w:hyperlink r:id="rId104">
        <w:r>
          <w:rPr>
            <w:color w:val="173C49"/>
            <w:u w:val="single"/>
          </w:rPr>
          <w:t xml:space="preserve">Клинические рекомендации Минздрава России. Множественная миелома, 2024 г.</w:t>
        </w:r>
      </w:hyperlink>
    </w:p>
    <w:p>
      <w:pPr>
        <w:spacing w:after="58"/>
      </w:pPr>
      <w:hyperlink r:id="rId10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Данные иммунохимического исследования сыворотки крови и мочи и картина костного мозга позволяют диагностировать у этой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Множественную миелому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AL-амилоидоз, ассоциированный с множественной миеломой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AL-амилоидоз, ассоциированный с лимфоплазмацитомой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Первичный AL-амилоидоз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AL-амилоидоз, ассоциированный с множественной миеломой</w:t>
      </w:r>
    </w:p>
    <w:p>
      <w:pPr>
        <w:spacing w:after="58"/>
      </w:pPr>
      <w:r>
        <w:rPr>
          <w:b w:val="0"/>
          <w:i w:val="0"/>
        </w:rPr>
        <w:t>Критерии установления диагноза/состояния:</w:t>
      </w:r>
    </w:p>
    <w:p>
      <w:pPr>
        <w:spacing w:after="58"/>
      </w:pPr>
      <w:r>
        <w:rPr>
          <w:b w:val="0"/>
          <w:i w:val="0"/>
        </w:rPr>
        <w:t>В настоящее время диагноз тлеющей миеломы согласно рекомендациям IMWG 2014 устанавливают при обязательном выявлении двух следующих признаков:</w:t>
      </w:r>
    </w:p>
    <w:p>
      <w:pPr>
        <w:spacing w:after="58"/>
      </w:pPr>
      <w:r>
        <w:rPr>
          <w:b w:val="0"/>
          <w:i w:val="0"/>
        </w:rPr>
        <w:t xml:space="preserve">* сывороточный М-компонент (IgG или IgA) ≥30 г/л или белок Бенс-Джонса в моче ≥500 мг/сут и/или 10—60% клональных плазматических клеток в костном мозге; </w:t>
        <w:br/>
        <w:t>* отсутствие признаков поражения органов и тканей, связанных с плазмоклеточной инфильтрацией или амилоидозом.</w:t>
      </w:r>
    </w:p>
    <w:p>
      <w:pPr>
        <w:spacing w:after="58"/>
      </w:pPr>
      <w:r>
        <w:rPr>
          <w:b w:val="0"/>
          <w:i w:val="0"/>
        </w:rPr>
        <w:t>При установлении диагноза симптоматической множественной миеломы (ММ) должны быть обнаружены 10% и более плазматических клеток в костном мозге и/или плазмоклеточная инфильтрация в биопсийном материале пораженной ткани при обязательном наличии как минимум одного критерия CRAB и/или SLiM, в том числе:</w:t>
      </w:r>
    </w:p>
    <w:p>
      <w:pPr>
        <w:spacing w:after="58"/>
      </w:pPr>
      <w:r>
        <w:rPr>
          <w:b w:val="0"/>
          <w:i w:val="0"/>
        </w:rPr>
        <w:t>1. Один или более следующих признаков поражения органов или тканей, связанных с плазмоклеточной пролиферацией (критерии CRAB):</w:t>
      </w:r>
    </w:p>
    <w:p>
      <w:pPr>
        <w:spacing w:after="58"/>
      </w:pPr>
      <w:r>
        <w:rPr>
          <w:b w:val="0"/>
          <w:i w:val="0"/>
        </w:rPr>
        <w:t xml:space="preserve">* гиперкальциемия (сывороточный кальций на 0,25 ммоль/л или на 1 мг/дл превышающий верхнюю границу нормальных значений, или &gt; 2,75 ммоль/л, или &gt; 11 мг/дл); </w:t>
        <w:br/>
        <w:t xml:space="preserve">* почечная недостаточность (клиренс креатинина &lt;40 мл/мин или креатинин сыворотки &gt;177 мкмоль/л, или &gt;2 мг/дл); </w:t>
        <w:br/>
        <w:t xml:space="preserve">* анемия (гемоглобин на 20 г/л ниже нормальных значений или ниже 100 г/л); </w:t>
        <w:br/>
        <w:t xml:space="preserve">* поражение костей (один или более остеолитический очаг, выявленный при рентгенографии, КТ или ПЭТ/КТ; </w:t>
        <w:br/>
        <w:t>*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</w:r>
    </w:p>
    <w:p>
      <w:pPr>
        <w:spacing w:after="58"/>
      </w:pPr>
      <w:r>
        <w:rPr>
          <w:b w:val="0"/>
          <w:i w:val="0"/>
        </w:rPr>
        <w:t>2. При отсутствии симптомов комплекса «CRAB» - наличие как минимум одного маркера опухолевой активности (критерии SLiM):</w:t>
      </w:r>
    </w:p>
    <w:p>
      <w:pPr>
        <w:spacing w:after="58"/>
      </w:pPr>
      <w:r>
        <w:rPr>
          <w:b w:val="0"/>
          <w:i w:val="0"/>
        </w:rPr>
        <w:t xml:space="preserve">* более 60% плазматических клеток в костном мозге; </w:t>
        <w:br/>
        <w:t xml:space="preserve">* соотношение вовлеченных/невовлеченных СЛЦ сыворотки более 100; </w:t>
        <w:br/>
        <w:t>* более 1 очага инфильтрации костного мозга по результатам МРТ: каждый очаг должен быть в диаметре не менее 5 мм.</w:t>
      </w:r>
    </w:p>
    <w:p>
      <w:pPr>
        <w:spacing w:after="58"/>
      </w:pPr>
      <w:hyperlink r:id="rId104">
        <w:r>
          <w:rPr>
            <w:color w:val="173C49"/>
            <w:u w:val="single"/>
          </w:rPr>
          <w:t xml:space="preserve">Клинические рекомендации Минздрава России. Множественная миелома, 2024 г.</w:t>
        </w:r>
      </w:hyperlink>
    </w:p>
    <w:p>
      <w:pPr>
        <w:spacing w:after="58"/>
      </w:pPr>
      <w:hyperlink r:id="rId10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10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108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109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r>
        <w:rPr>
          <w:b w:val="0"/>
          <w:i w:val="0"/>
        </w:rPr>
        <w:t>Таким образом, высокая (более 30 г/л) продукция моноклонального парапротеина (G), выявление в сыворотке крови и моче больной в большом количестве свободных легких цепей преимущественно λ-изотипа, а также выраженная инфильтрация костного мозга плазматическими клетками, продуцирующими преимущественно λ-изотип легких цепей, в совокупности с типичными клиническими проявлениями (анемия, резорбция кости, гиперкальциемия, почечная недостаточность) характерны для миеломной болезни (IgG миелома). Однако у больной выявлено системное органное отложение амилоида AL-типа (подтвержденного при окрасочных методах типирования в кишке и костном мозге, а также гистохимическим методом выявления в костном мозге клеток, продуцирующих λ-легкие цепи – предшественники AL-амилоида), что указывает на развитие AL-амилоидоза, ассоциированного с миеломой.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Аргументом в пользу диагноза множественной миеломы являются обнаруженные у пациентки характерные органные поражения, включающие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гепатоспленомегалию, моторную диарею, гипертрофическую кардиопатию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ритма сердца, ортостатическую гипотензию, инсульт ишемический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гипокальциемию, гиперкальциурию, аденому паращитовидной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гиперкальциемию, почечную недостаточность, анемию, резорбцию костей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гиперкальциемию, почечную недостаточность, анемию, резорбцию костей</w:t>
      </w:r>
    </w:p>
    <w:p>
      <w:pPr>
        <w:spacing w:after="58"/>
      </w:pPr>
      <w:r>
        <w:rPr>
          <w:b w:val="0"/>
          <w:i w:val="0"/>
        </w:rPr>
        <w:t>Признаки поражения органов или тканей, связанного с плазмоклеточной пролиферацией (критерии CRAB) включают:</w:t>
      </w:r>
    </w:p>
    <w:p>
      <w:pPr>
        <w:spacing w:after="58"/>
      </w:pPr>
      <w:r>
        <w:rPr>
          <w:b w:val="0"/>
          <w:i w:val="0"/>
        </w:rPr>
        <w:t xml:space="preserve">* гиперкальциемия (сывороточный кальций на 0,25 ммоль/л или на 1 мг/дл превышающий верхнюю границу нормальных значений, или &gt; 2,75 ммоль/л, или &gt; 11 мг/дл); </w:t>
        <w:br/>
        <w:t xml:space="preserve">* почечная недостаточность (клиренс креатинина &lt;40 мл/мин или креатинин сыворотки &gt;177 мкмоль/л, или &gt;2 мг/дл); </w:t>
        <w:br/>
        <w:t xml:space="preserve">* анемия (гемоглобин на 20 г/л ниже нормальных значений или ниже 100 г/л); </w:t>
        <w:br/>
        <w:t>* поражение костей (один или более остеолитический очаг, выявленный при рентгенографии, КТ или ПЭТ/КТ;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</w:r>
    </w:p>
    <w:p>
      <w:pPr>
        <w:spacing w:after="58"/>
      </w:pPr>
      <w:r>
        <w:rPr>
          <w:b w:val="0"/>
          <w:i w:val="0"/>
        </w:rPr>
        <w:t>Все названные признаки, характерные для множественной миеломы, выявлены у пациентки.</w:t>
      </w:r>
    </w:p>
    <w:p>
      <w:pPr>
        <w:spacing w:after="58"/>
      </w:pPr>
      <w:hyperlink r:id="rId10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11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111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112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113">
        <w:r>
          <w:rPr>
            <w:color w:val="173C49"/>
            <w:u w:val="single"/>
          </w:rPr>
          <w:t xml:space="preserve">(5)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Основной целью лечения AL-амилоидоза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элиминация амилоидогенного клона плазматических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эффективная борьба с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элиминация амилоидных фибрилл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фибрилл с помощью сеансов гемодиафильтрации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элиминация амилоидогенного клона плазматических клеток</w:t>
      </w:r>
    </w:p>
    <w:p>
      <w:pPr>
        <w:spacing w:after="58"/>
      </w:pPr>
      <w:r>
        <w:rPr>
          <w:b w:val="0"/>
          <w:i w:val="0"/>
        </w:rPr>
        <w:t>При AL типе амилоидоза, как и при миеломной болезни, целью лечения служит подавление пролиферации клона плазматических клеток для уменьшения продукции легких цепей иммуноглобулинов. Этого достигают при назначении клон-ориентрированной иммуносупрессивной терапии.</w:t>
      </w:r>
    </w:p>
    <w:p>
      <w:pPr>
        <w:spacing w:after="58"/>
      </w:pPr>
      <w:hyperlink r:id="rId85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11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11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</w:r>
    </w:p>
    <w:p>
      <w:pPr>
        <w:spacing w:after="58"/>
      </w:pPr>
      <w:hyperlink r:id="rId11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смерти больных AL-амилоидозом при проведении гемодиализа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тромбоз сосудистого доступа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поражение сердца и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легочное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кишечное кровотечение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поражение сердца и сосудов</w:t>
      </w:r>
    </w:p>
    <w:p>
      <w:pPr>
        <w:spacing w:after="58"/>
      </w:pPr>
      <w:r>
        <w:rPr>
          <w:b w:val="0"/>
          <w:i w:val="0"/>
        </w:rPr>
        <w:t>Поражение сердца и сосудов бывает основной причиной смерти больных амилоидозом при проведении гемодиализа. Постоянный амбулаторный перитонеальный диализ имеет некоторые преимущества перед гемодиализом поскольку нет необходимости в постоянном сосудистом доступе, меньше риск артериальной гипотензии во время процедуры диализа.</w:t>
      </w:r>
    </w:p>
    <w:p>
      <w:pPr>
        <w:spacing w:after="58"/>
      </w:pPr>
      <w:hyperlink r:id="rId85">
        <w:r>
          <w:rPr>
            <w:color w:val="173C49"/>
            <w:u w:val="single"/>
          </w:rPr>
          <w:t xml:space="preserve">Диагностика и лечение АА-и AL-амилоидоза. Национальные клинические рекомендации. Научное общество нефрологов России. 2014</w:t>
        </w:r>
      </w:hyperlink>
    </w:p>
    <w:p>
      <w:pPr>
        <w:spacing w:after="58"/>
      </w:pPr>
      <w:hyperlink r:id="rId11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11742/?anchor=paragraph_7h56ld#paragraph_7h56ld" TargetMode="External"/><Relationship Id="rId24" Type="http://schemas.openxmlformats.org/officeDocument/2006/relationships/hyperlink" Target="https://library.mededtech.ru/rest/documents/KP1/" TargetMode="External"/><Relationship Id="rId25" Type="http://schemas.openxmlformats.org/officeDocument/2006/relationships/hyperlink" Target="https://library.mededtech.ru/rest/documents/KP1/#paragraph_hd565j" TargetMode="External"/><Relationship Id="rId26" Type="http://schemas.openxmlformats.org/officeDocument/2006/relationships/hyperlink" Target="https://library.mededtech.ru/rest/documents/ISBN9785970411742/?anchor=paragraph_4u288b#paragraph_4u288b" TargetMode="External"/><Relationship Id="rId27" Type="http://schemas.openxmlformats.org/officeDocument/2006/relationships/hyperlink" Target="https://library.mededtech.ru/rest/documents/KP1/#paragraph_d6sd3n" TargetMode="External"/><Relationship Id="rId28" Type="http://schemas.openxmlformats.org/officeDocument/2006/relationships/hyperlink" Target="https://library.mededtech.ru/rest/documents/ISBN9785970411742/?anchor=paragraph_rn28l7#paragraph_rn28l7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nonr_1/" TargetMode="External"/><Relationship Id="rId31" Type="http://schemas.openxmlformats.org/officeDocument/2006/relationships/hyperlink" Target="https://library.mededtech.ru/rest/documents/nonr_1/#link1" TargetMode="External"/><Relationship Id="rId32" Type="http://schemas.openxmlformats.org/officeDocument/2006/relationships/hyperlink" Target="https://library.mededtech.ru/rest/documents/ISBN9785970437889/?anchor=paragraph_e2jl8b#paragraph_e2jl8b" TargetMode="External"/><Relationship Id="rId33" Type="http://schemas.openxmlformats.org/officeDocument/2006/relationships/hyperlink" Target="https://library.mededtech.ru/rest/documents/ISBN9785970437889/?anchor=paragraph_32veui#paragraph_32veui" TargetMode="External"/><Relationship Id="rId34" Type="http://schemas.openxmlformats.org/officeDocument/2006/relationships/hyperlink" Target="https://library.mededtech.ru/rest/documents/ISBN9785970411742/?anchor=paragraph_4hq4am#paragraph_4hq4am" TargetMode="External"/><Relationship Id="rId35" Type="http://schemas.openxmlformats.org/officeDocument/2006/relationships/hyperlink" Target="https://library.mededtech.ru/rest/documents/ISBN9785970437889/?anchor=paragraph_nvu3ga#paragraph_nvu3ga" TargetMode="External"/><Relationship Id="rId36" Type="http://schemas.openxmlformats.org/officeDocument/2006/relationships/hyperlink" Target="https://library.mededtech.ru/rest/documents/KP1/#paragraph_oln31d" TargetMode="External"/><Relationship Id="rId37" Type="http://schemas.openxmlformats.org/officeDocument/2006/relationships/hyperlink" Target="https://library.mededtech.ru/rest/documents/KP1/#paragraph_dhpql9" TargetMode="External"/><Relationship Id="rId38" Type="http://schemas.openxmlformats.org/officeDocument/2006/relationships/hyperlink" Target="https://library.mededtech.ru/rest/documents/nonr_1/#list_item_81udp" TargetMode="External"/><Relationship Id="rId39" Type="http://schemas.openxmlformats.org/officeDocument/2006/relationships/hyperlink" Target="https://library.mededtech.ru/rest/documents/KP1/#paragraph_4l8sic" TargetMode="External"/><Relationship Id="rId40" Type="http://schemas.openxmlformats.org/officeDocument/2006/relationships/hyperlink" Target="https://library.mededtech.ru/rest/documents/nonr_9/" TargetMode="External"/><Relationship Id="rId41" Type="http://schemas.openxmlformats.org/officeDocument/2006/relationships/hyperlink" Target="https://library.mededtech.ru/rest/documents/nonr_9/#paragraph_j6hcv" TargetMode="External"/><Relationship Id="rId42" Type="http://schemas.openxmlformats.org/officeDocument/2006/relationships/hyperlink" Target="https://library.mededtech.ru/rest/documents/sarkoidoz/" TargetMode="External"/><Relationship Id="rId43" Type="http://schemas.openxmlformats.org/officeDocument/2006/relationships/hyperlink" Target="https://library.mededtech.ru/rest/documents/sarkoidoz/#paragraph_pd5hf" TargetMode="External"/><Relationship Id="rId44" Type="http://schemas.openxmlformats.org/officeDocument/2006/relationships/hyperlink" Target="https://library.mededtech.ru/rest/documents/KP1/#table_5e0im2" TargetMode="External"/><Relationship Id="rId45" Type="http://schemas.openxmlformats.org/officeDocument/2006/relationships/hyperlink" Target="https://library.mededtech.ru/rest/documents/ISBN9785970458860/?anchor=paragraph_b840e9#paragraph_b840e9" TargetMode="External"/><Relationship Id="rId46" Type="http://schemas.openxmlformats.org/officeDocument/2006/relationships/hyperlink" Target="https://library.mededtech.ru/rest/documents/KP469_24/" TargetMode="External"/><Relationship Id="rId47" Type="http://schemas.openxmlformats.org/officeDocument/2006/relationships/hyperlink" Target="https://library.mededtech.ru/rest/documents/KP469_24/#list_item_gb56ik" TargetMode="External"/><Relationship Id="rId48" Type="http://schemas.openxmlformats.org/officeDocument/2006/relationships/hyperlink" Target="https://library.mededtech.ru/rest/documents/KP469_24/#paragraph_4kvsg7" TargetMode="External"/><Relationship Id="rId49" Type="http://schemas.openxmlformats.org/officeDocument/2006/relationships/hyperlink" Target="https://library.mededtech.ru/rest/documents/ISBN9785970411742/?anchor=paragraph_5b5dhg#paragraph_5b5dhg" TargetMode="External"/><Relationship Id="rId50" Type="http://schemas.openxmlformats.org/officeDocument/2006/relationships/hyperlink" Target="https://library.mededtech.ru/rest/documents/ISBN9785970411742/?anchor=paragraph_84ao38#paragraph_84ao38" TargetMode="External"/><Relationship Id="rId51" Type="http://schemas.openxmlformats.org/officeDocument/2006/relationships/hyperlink" Target="https://library.mededtech.ru/rest/documents/ISBN9785970411742/?anchor=paragraph_l1tafj#paragraph_l1tafj" TargetMode="External"/><Relationship Id="rId52" Type="http://schemas.openxmlformats.org/officeDocument/2006/relationships/hyperlink" Target="https://library.mededtech.ru/rest/documents/ISBN9785970411742/?anchor=paragraph_5bp7ph#paragraph_5bp7ph" TargetMode="External"/><Relationship Id="rId53" Type="http://schemas.openxmlformats.org/officeDocument/2006/relationships/hyperlink" Target="https://library.mededtech.ru/rest/documents/ISBN9785970411742/?anchor=paragraph_lmecv3#paragraph_lmecv3" TargetMode="External"/><Relationship Id="rId54" Type="http://schemas.openxmlformats.org/officeDocument/2006/relationships/hyperlink" Target="https://library.mededtech.ru/rest/documents/ISBN9785970411742/?anchor=paragraph_schjgh#paragraph_schjgh" TargetMode="External"/><Relationship Id="rId55" Type="http://schemas.openxmlformats.org/officeDocument/2006/relationships/hyperlink" Target="https://library.mededtech.ru/rest/documents/ISBN9785970411742/?anchor=paragraph_e1d4li#paragraph_e1d4li" TargetMode="External"/><Relationship Id="rId56" Type="http://schemas.openxmlformats.org/officeDocument/2006/relationships/hyperlink" Target="https://library.mededtech.ru/rest/documents/ISBN9785970411742/?anchor=paragraph_b205h5#paragraph_b205h5" TargetMode="External"/><Relationship Id="rId57" Type="http://schemas.openxmlformats.org/officeDocument/2006/relationships/hyperlink" Target="https://library.mededtech.ru/rest/documents/ISBN9785970411742/?anchor=paragraph_3sk96q#paragraph_3sk96q" TargetMode="External"/><Relationship Id="rId58" Type="http://schemas.openxmlformats.org/officeDocument/2006/relationships/hyperlink" Target="https://library.mededtech.ru/rest/documents/ISBN9785970411742/?anchor=paragraph_gb5bsu#paragraph_gb5bsu" TargetMode="External"/><Relationship Id="rId59" Type="http://schemas.openxmlformats.org/officeDocument/2006/relationships/hyperlink" Target="https://library.mededtech.ru/rest/documents/ISBN9785970411742/?anchor=paragraph_5qrt0c#paragraph_5qrt0c" TargetMode="External"/><Relationship Id="rId60" Type="http://schemas.openxmlformats.org/officeDocument/2006/relationships/image" Target="media/image9.png"/><Relationship Id="rId61" Type="http://schemas.openxmlformats.org/officeDocument/2006/relationships/hyperlink" Target="https://library.mededtech.ru/rest/documents/ISBN9785970458860/?anchor=paragraph_m154vd#paragraph_m154vd" TargetMode="External"/><Relationship Id="rId62" Type="http://schemas.openxmlformats.org/officeDocument/2006/relationships/hyperlink" Target="https://library.mededtech.ru/rest/documents/ISBN9785970458860/?anchor=paragraph_jmc8v7#paragraph_jmc8v7" TargetMode="External"/><Relationship Id="rId63" Type="http://schemas.openxmlformats.org/officeDocument/2006/relationships/hyperlink" Target="https://library.mededtech.ru/rest/documents/D01514/?anchor=list_item_11kmg#list_item_11kmg" TargetMode="External"/><Relationship Id="rId64" Type="http://schemas.openxmlformats.org/officeDocument/2006/relationships/hyperlink" Target="https://library.mededtech.ru/rest/documents/ISBN9785970458860/?anchor=paragraph_e0e2ru#paragraph_e0e2ru" TargetMode="External"/><Relationship Id="rId65" Type="http://schemas.openxmlformats.org/officeDocument/2006/relationships/hyperlink" Target="https://library.mededtech.ru/rest/documents/ISBN9785970437889/?anchor=paragraph_5on86s#paragraph_5on86s" TargetMode="External"/><Relationship Id="rId66" Type="http://schemas.openxmlformats.org/officeDocument/2006/relationships/hyperlink" Target="https://library.mededtech.ru/rest/documents/ISBN9785970437889/?anchor=list_item_ms8v02#list_item_ms8v02" TargetMode="External"/><Relationship Id="rId67" Type="http://schemas.openxmlformats.org/officeDocument/2006/relationships/hyperlink" Target="https://library.mededtech.ru/rest/documents/ISBN9785970437889/?anchor=list_item_7bkurf#list_item_7bkurf" TargetMode="External"/><Relationship Id="rId68" Type="http://schemas.openxmlformats.org/officeDocument/2006/relationships/hyperlink" Target="https://library.mededtech.ru/rest/documents/ISBN9785970437889/?anchor=list_item_6ju7no#list_item_6ju7no" TargetMode="External"/><Relationship Id="rId69" Type="http://schemas.openxmlformats.org/officeDocument/2006/relationships/hyperlink" Target="https://library.mededtech.ru/rest/documents/ISBN9785970458860/?anchor=paragraph_pia7tl#paragraph_pia7tl" TargetMode="External"/><Relationship Id="rId70" Type="http://schemas.openxmlformats.org/officeDocument/2006/relationships/hyperlink" Target="https://library.mededtech.ru/rest/documents/ISBN9785970458860/?anchor=paragraph_gg6nv5#paragraph_gg6nv5" TargetMode="External"/><Relationship Id="rId71" Type="http://schemas.openxmlformats.org/officeDocument/2006/relationships/hyperlink" Target="https://library.mededtech.ru/rest/documents/ISBN9785970458860/?anchor=paragraph_gahlkd#paragraph_gahlkd" TargetMode="External"/><Relationship Id="rId72" Type="http://schemas.openxmlformats.org/officeDocument/2006/relationships/hyperlink" Target="https://library.mededtech.ru/rest/documents/ISBN9785970458860/?anchor=list_item_t6efap#list_item_t6efap" TargetMode="External"/><Relationship Id="rId73" Type="http://schemas.openxmlformats.org/officeDocument/2006/relationships/hyperlink" Target="https://library.mededtech.ru/rest/documents/ISBN9785970458860/?anchor=list_item_0kk8h4#list_item_0kk8h4" TargetMode="External"/><Relationship Id="rId74" Type="http://schemas.openxmlformats.org/officeDocument/2006/relationships/hyperlink" Target="https://library.mededtech.ru/rest/documents/ISBN9785970458860/?anchor=list_item_d45mmm#list_item_d45mmm" TargetMode="External"/><Relationship Id="rId75" Type="http://schemas.openxmlformats.org/officeDocument/2006/relationships/hyperlink" Target="https://library.mededtech.ru/rest/documents/ISBN9785970458860/?anchor=list_item_8ih14f#list_item_8ih14f" TargetMode="External"/><Relationship Id="rId76" Type="http://schemas.openxmlformats.org/officeDocument/2006/relationships/hyperlink" Target="https://library.mededtech.ru/rest/documents/ISBN9785970437148/?anchor=paragraph_68qaaj#paragraph_68qaaj" TargetMode="External"/><Relationship Id="rId77" Type="http://schemas.openxmlformats.org/officeDocument/2006/relationships/hyperlink" Target="https://library.mededtech.ru/rest/documents/ISBN9785970437148/?anchor=paragraph_82d4h3#paragraph_82d4h3" TargetMode="External"/><Relationship Id="rId78" Type="http://schemas.openxmlformats.org/officeDocument/2006/relationships/hyperlink" Target="https://library.mededtech.ru/rest/documents/ISBN9785970437148/?anchor=paragraph_7cvgs0#paragraph_7cvgs0" TargetMode="External"/><Relationship Id="rId79" Type="http://schemas.openxmlformats.org/officeDocument/2006/relationships/hyperlink" Target="https://library.mededtech.ru/rest/documents/ISBN9785970437148/?anchor=paragraph_cbo7hj#paragraph_cbo7hj" TargetMode="External"/><Relationship Id="rId80" Type="http://schemas.openxmlformats.org/officeDocument/2006/relationships/hyperlink" Target="https://library.mededtech.ru/rest/documents/ISBN9785970437148/?anchor=paragraph_i2sd6f#paragraph_i2sd6f" TargetMode="External"/><Relationship Id="rId81" Type="http://schemas.openxmlformats.org/officeDocument/2006/relationships/hyperlink" Target="https://library.mededtech.ru/rest/documents/ISBN9785970437148/?anchor=paragraph_m3cop9#paragraph_m3cop9" TargetMode="External"/><Relationship Id="rId82" Type="http://schemas.openxmlformats.org/officeDocument/2006/relationships/hyperlink" Target="https://library.mededtech.ru/rest/documents/ISBN9785970437148/?anchor=paragraph_m74gdf#paragraph_m74gdf" TargetMode="External"/><Relationship Id="rId83" Type="http://schemas.openxmlformats.org/officeDocument/2006/relationships/hyperlink" Target="https://library.mededtech.ru/rest/documents/ISBN9785970437148/?anchor=paragraph_c5oh84#paragraph_c5oh84" TargetMode="External"/><Relationship Id="rId84" Type="http://schemas.openxmlformats.org/officeDocument/2006/relationships/hyperlink" Target="https://library.mededtech.ru/rest/documents/ISBN9785970437148/?anchor=paragraph_9c6e5e#paragraph_9c6e5e" TargetMode="External"/><Relationship Id="rId85" Type="http://schemas.openxmlformats.org/officeDocument/2006/relationships/hyperlink" Target="https://library.mededtech.ru/rest/documents/nonr_22/" TargetMode="External"/><Relationship Id="rId86" Type="http://schemas.openxmlformats.org/officeDocument/2006/relationships/hyperlink" Target="https://library.mededtech.ru/rest/documents/nonr_22/#&#1082;&#1083;&#1080;&#1085;&#1080;&#1095;&#1077;&#1089;&#1082;&#1080;&#1077;_&#1087;&#1088;&#1086;&#1103;&#1074;&#1083;&#1077;&#1085;&#1080;&#1103;_&#1072;&#1084;&#1080;&#1083;&#1086;&#1080;&#1076;&#1086;&#1079;&#1072;" TargetMode="External"/><Relationship Id="rId87" Type="http://schemas.openxmlformats.org/officeDocument/2006/relationships/hyperlink" Target="https://library.mededtech.ru/rest/documents/nonr_22/#list_item_0fs6q" TargetMode="External"/><Relationship Id="rId88" Type="http://schemas.openxmlformats.org/officeDocument/2006/relationships/hyperlink" Target="https://library.mededtech.ru/rest/documents/nonr_22/#list_item_o6j3k" TargetMode="External"/><Relationship Id="rId89" Type="http://schemas.openxmlformats.org/officeDocument/2006/relationships/hyperlink" Target="https://library.mededtech.ru/rest/documents/nonr_22/#paragraph_tabef" TargetMode="External"/><Relationship Id="rId90" Type="http://schemas.openxmlformats.org/officeDocument/2006/relationships/hyperlink" Target="https://library.mededtech.ru/rest/documents/nonr_22/#list_item_b0nrr" TargetMode="External"/><Relationship Id="rId91" Type="http://schemas.openxmlformats.org/officeDocument/2006/relationships/hyperlink" Target="https://library.mededtech.ru/rest/documents/nonr_22/#paragraph_b47mr" TargetMode="External"/><Relationship Id="rId92" Type="http://schemas.openxmlformats.org/officeDocument/2006/relationships/hyperlink" Target="https://library.mededtech.ru/rest/documents/ISBN9785970458860/?anchor=paragraph_8jr031#paragraph_8jr031" TargetMode="External"/><Relationship Id="rId93" Type="http://schemas.openxmlformats.org/officeDocument/2006/relationships/hyperlink" Target="https://library.mededtech.ru/rest/documents/nonr_22/#list_item_eo3n6" TargetMode="External"/><Relationship Id="rId94" Type="http://schemas.openxmlformats.org/officeDocument/2006/relationships/hyperlink" Target="https://library.mededtech.ru/rest/documents/nonr_22/#list_item_iebj6" TargetMode="External"/><Relationship Id="rId95" Type="http://schemas.openxmlformats.org/officeDocument/2006/relationships/hyperlink" Target="https://library.mededtech.ru/rest/documents/ISBN9785970437148/?anchor=paragraph_cj7sfm#paragraph_cj7sfm" TargetMode="External"/><Relationship Id="rId96" Type="http://schemas.openxmlformats.org/officeDocument/2006/relationships/hyperlink" Target="https://library.mededtech.ru/rest/documents/nonr_22/#paragraph_j679t" TargetMode="External"/><Relationship Id="rId97" Type="http://schemas.openxmlformats.org/officeDocument/2006/relationships/hyperlink" Target="https://library.mededtech.ru/rest/documents/ISBN9785970458860/?anchor=paragraph_7rjn3c#paragraph_7rjn3c" TargetMode="External"/><Relationship Id="rId98" Type="http://schemas.openxmlformats.org/officeDocument/2006/relationships/hyperlink" Target="https://library.mededtech.ru/rest/documents/ISBN9785970437148/?anchor=paragraph_gfdn90#paragraph_gfdn90" TargetMode="External"/><Relationship Id="rId99" Type="http://schemas.openxmlformats.org/officeDocument/2006/relationships/hyperlink" Target="https://library.mededtech.ru/rest/documents/ISBN9785970437148/?anchor=paragraph_ev6397#paragraph_ev6397" TargetMode="External"/><Relationship Id="rId100" Type="http://schemas.openxmlformats.org/officeDocument/2006/relationships/hyperlink" Target="https://library.mededtech.ru/rest/documents/nonr_22/#list_item_1aqn2" TargetMode="External"/><Relationship Id="rId101" Type="http://schemas.openxmlformats.org/officeDocument/2006/relationships/hyperlink" Target="https://library.mededtech.ru/rest/documents/nonr_22/#list_item_q4o73" TargetMode="External"/><Relationship Id="rId102" Type="http://schemas.openxmlformats.org/officeDocument/2006/relationships/hyperlink" Target="https://library.mededtech.ru/rest/documents/nonr_22/#list_item_9fl72" TargetMode="External"/><Relationship Id="rId103" Type="http://schemas.openxmlformats.org/officeDocument/2006/relationships/hyperlink" Target="https://library.mededtech.ru/rest/documents/nonr_22/#paragraph_18duu" TargetMode="External"/><Relationship Id="rId104" Type="http://schemas.openxmlformats.org/officeDocument/2006/relationships/hyperlink" Target="https://library.mededtech.ru/rest/documents/144_2/" TargetMode="External"/><Relationship Id="rId105" Type="http://schemas.openxmlformats.org/officeDocument/2006/relationships/hyperlink" Target="https://library.mededtech.ru/rest/documents/144_2/#list_item_hfrcmo" TargetMode="External"/><Relationship Id="rId106" Type="http://schemas.openxmlformats.org/officeDocument/2006/relationships/hyperlink" Target="https://library.mededtech.ru/rest/documents/144_2/#paragraph_5cuf41" TargetMode="External"/><Relationship Id="rId107" Type="http://schemas.openxmlformats.org/officeDocument/2006/relationships/hyperlink" Target="https://library.mededtech.ru/rest/documents/144_2/#paragraph_9v979n" TargetMode="External"/><Relationship Id="rId108" Type="http://schemas.openxmlformats.org/officeDocument/2006/relationships/hyperlink" Target="https://library.mededtech.ru/rest/documents/144_2/#list_item_c1tkeo" TargetMode="External"/><Relationship Id="rId109" Type="http://schemas.openxmlformats.org/officeDocument/2006/relationships/hyperlink" Target="https://library.mededtech.ru/rest/documents/144_2/#list_item_8qv4up" TargetMode="External"/><Relationship Id="rId110" Type="http://schemas.openxmlformats.org/officeDocument/2006/relationships/hyperlink" Target="https://library.mededtech.ru/rest/documents/144_2/#list_item_0n36cl" TargetMode="External"/><Relationship Id="rId111" Type="http://schemas.openxmlformats.org/officeDocument/2006/relationships/hyperlink" Target="https://library.mededtech.ru/rest/documents/144_2/#list_item_s2af6c" TargetMode="External"/><Relationship Id="rId112" Type="http://schemas.openxmlformats.org/officeDocument/2006/relationships/hyperlink" Target="https://library.mededtech.ru/rest/documents/144_2/#list_item_l77d81" TargetMode="External"/><Relationship Id="rId113" Type="http://schemas.openxmlformats.org/officeDocument/2006/relationships/hyperlink" Target="https://library.mededtech.ru/rest/documents/144_2/#list_item_u52ajd" TargetMode="External"/><Relationship Id="rId114" Type="http://schemas.openxmlformats.org/officeDocument/2006/relationships/hyperlink" Target="https://library.mededtech.ru/rest/documents/nonr_22/#paragraph_m0k5u" TargetMode="External"/><Relationship Id="rId115" Type="http://schemas.openxmlformats.org/officeDocument/2006/relationships/hyperlink" Target="https://library.mededtech.ru/rest/documents/ISBN9785970437889/?anchor=paragraph_cpv4fc#paragraph_cpv4fc" TargetMode="External"/><Relationship Id="rId116" Type="http://schemas.openxmlformats.org/officeDocument/2006/relationships/hyperlink" Target="https://library.mededtech.ru/rest/documents/ISBN9785970458860/?anchor=paragraph_5bfjjv#paragraph_5bfjjv" TargetMode="External"/><Relationship Id="rId117" Type="http://schemas.openxmlformats.org/officeDocument/2006/relationships/hyperlink" Target="https://library.mededtech.ru/rest/documents/nonr_22/#paragraph_a6t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